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782320</wp:posOffset>
            </wp:positionV>
            <wp:extent cx="5268595" cy="718820"/>
            <wp:effectExtent l="0" t="0" r="4445" b="127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right" w:pos="8527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300" w:leftChars="100" w:right="300" w:rightChars="100" w:firstLine="0"/>
        <w:jc w:val="center"/>
        <w:outlineLvl w:val="9"/>
        <w:rPr>
          <w:rFonts w:hint="eastAsia" w:ascii="Times New Roman" w:hAnsi="方正仿宋_GBK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right" w:pos="8527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300" w:leftChars="100" w:right="300" w:rightChars="100" w:firstLine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方正仿宋_GBK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工商校党发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〔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eastAsia" w:eastAsia="宋体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〕</w:t>
      </w:r>
      <w:r>
        <w:rPr>
          <w:rFonts w:hint="eastAsia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268595" cy="24765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line="600" w:lineRule="exact"/>
        <w:jc w:val="center"/>
        <w:rPr>
          <w:rFonts w:eastAsia="方正小标宋_GBK" w:cs="Times New Roman"/>
          <w:bCs/>
          <w:sz w:val="44"/>
          <w:szCs w:val="44"/>
          <w:lang w:bidi="ar-SA"/>
        </w:rPr>
      </w:pPr>
      <w:r>
        <w:rPr>
          <w:rFonts w:hint="eastAsia" w:eastAsia="方正小标宋_GBK" w:cs="Times New Roman"/>
          <w:bCs/>
          <w:sz w:val="44"/>
          <w:szCs w:val="44"/>
          <w:lang w:bidi="ar-SA"/>
        </w:rPr>
        <w:t>中共重庆工商学校委员会</w:t>
      </w:r>
    </w:p>
    <w:p>
      <w:pPr>
        <w:spacing w:line="600" w:lineRule="exact"/>
        <w:jc w:val="center"/>
      </w:pPr>
      <w:r>
        <w:rPr>
          <w:rFonts w:eastAsia="方正小标宋_GBK" w:cs="Times New Roman"/>
          <w:bCs/>
          <w:kern w:val="2"/>
          <w:sz w:val="44"/>
          <w:szCs w:val="44"/>
          <w:lang w:val="en-US" w:eastAsia="zh-CN" w:bidi="ar-SA"/>
        </w:rPr>
        <w:t>关于印发《</w:t>
      </w:r>
      <w:r>
        <w:rPr>
          <w:rFonts w:hint="eastAsia" w:eastAsia="方正小标宋_GBK" w:cs="Times New Roman"/>
          <w:bCs/>
          <w:kern w:val="2"/>
          <w:sz w:val="44"/>
          <w:szCs w:val="44"/>
          <w:lang w:val="zh-CN" w:eastAsia="zh-CN" w:bidi="ar-SA"/>
        </w:rPr>
        <w:t>中共重庆工商学校委员会关于深化“三型”党组织建设实施方案</w:t>
      </w:r>
      <w:r>
        <w:rPr>
          <w:rFonts w:hint="eastAsia" w:ascii="方正小标宋_GBK" w:eastAsia="方正小标宋_GBK" w:cs="Tahoma"/>
          <w:color w:val="000000"/>
          <w:sz w:val="44"/>
          <w:szCs w:val="44"/>
          <w:lang w:bidi="ar-SA"/>
        </w:rPr>
        <w:t>》</w:t>
      </w:r>
      <w:r>
        <w:rPr>
          <w:rFonts w:hint="eastAsia" w:ascii="方正小标宋_GBK" w:eastAsia="方正小标宋_GBK" w:cs="Tahoma"/>
          <w:color w:val="000000"/>
          <w:kern w:val="2"/>
          <w:sz w:val="44"/>
          <w:szCs w:val="44"/>
          <w:lang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en-US" w:eastAsia="zh-CN" w:bidi="zh-CN"/>
        </w:rPr>
      </w:pPr>
      <w:r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en-US" w:eastAsia="zh-CN" w:bidi="zh-CN"/>
        </w:rPr>
        <w:t>各专业系、各支部：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en-US" w:eastAsia="zh-CN" w:bidi="zh-CN"/>
        </w:rPr>
        <w:t xml:space="preserve">     经学校党委会研究，</w:t>
      </w:r>
      <w:r>
        <w:rPr>
          <w:rFonts w:hint="eastAsia" w:ascii="方正楷体_GBK" w:hAnsi="方正楷体_GBK" w:eastAsia="方正楷体_GBK" w:cs="方正仿宋_GBK"/>
          <w:kern w:val="2"/>
          <w:sz w:val="32"/>
          <w:szCs w:val="32"/>
          <w:lang w:val="zh-CN" w:eastAsia="zh-CN" w:bidi="zh-CN"/>
        </w:rPr>
        <w:t>现将《中共重庆工商学校委员会关于深化“三型”党组织建设实施方案》印发给你们，请遵照执行。</w:t>
      </w:r>
    </w:p>
    <w:p>
      <w:pPr>
        <w:pStyle w:val="2"/>
        <w:rPr>
          <w:rFonts w:ascii="方正楷体_GBK"/>
          <w:sz w:val="3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4248150</wp:posOffset>
            </wp:positionH>
            <wp:positionV relativeFrom="paragraph">
              <wp:posOffset>187325</wp:posOffset>
            </wp:positionV>
            <wp:extent cx="1520825" cy="1520825"/>
            <wp:effectExtent l="0" t="0" r="3175" b="3175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3"/>
        <w:rPr>
          <w:rFonts w:hint="eastAsia" w:ascii="方正楷体_GBK" w:eastAsia="方正楷体_GBK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ascii="方正楷体_GBK" w:eastAsia="方正楷体_GBK"/>
        </w:rPr>
        <w:t>中共重庆工商学校委员</w:t>
      </w:r>
      <w:r>
        <w:rPr>
          <w:rFonts w:hint="eastAsia" w:ascii="方正楷体_GBK" w:eastAsia="方正楷体_GBK"/>
          <w:lang w:eastAsia="zh-CN"/>
        </w:rPr>
        <w:t>会</w:t>
      </w:r>
    </w:p>
    <w:p>
      <w:pPr>
        <w:pStyle w:val="2"/>
        <w:spacing w:line="273" w:lineRule="auto"/>
        <w:ind w:right="610" w:firstLine="5120" w:firstLineChars="1600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20</w:t>
      </w:r>
      <w:r>
        <w:rPr>
          <w:rFonts w:hint="eastAsia" w:ascii="方正楷体_GBK" w:eastAsia="方正楷体_GBK"/>
          <w:lang w:val="en-US" w:eastAsia="zh-CN"/>
        </w:rPr>
        <w:t>22</w:t>
      </w:r>
      <w:r>
        <w:rPr>
          <w:rFonts w:hint="eastAsia" w:ascii="方正楷体_GBK" w:eastAsia="方正楷体_GBK"/>
        </w:rPr>
        <w:t>年</w:t>
      </w:r>
      <w:r>
        <w:rPr>
          <w:rFonts w:hint="eastAsia" w:ascii="方正楷体_GBK" w:eastAsia="方正楷体_GBK"/>
          <w:lang w:val="en-US" w:eastAsia="zh-CN"/>
        </w:rPr>
        <w:t>2</w:t>
      </w:r>
      <w:r>
        <w:rPr>
          <w:rFonts w:hint="eastAsia" w:ascii="方正楷体_GBK" w:eastAsia="方正楷体_GBK"/>
        </w:rPr>
        <w:t>月</w:t>
      </w:r>
      <w:r>
        <w:rPr>
          <w:rFonts w:hint="eastAsia" w:ascii="方正楷体_GBK" w:eastAsia="方正楷体_GBK"/>
          <w:lang w:val="en-US" w:eastAsia="zh-CN"/>
        </w:rPr>
        <w:t>21</w:t>
      </w:r>
      <w:r>
        <w:rPr>
          <w:rFonts w:hint="eastAsia" w:ascii="方正楷体_GBK" w:eastAsia="方正楷体_GBK"/>
        </w:rPr>
        <w:t>日</w:t>
      </w:r>
    </w:p>
    <w:p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中共重庆工商学校委员会</w:t>
      </w:r>
    </w:p>
    <w:p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61945968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深化“三型”党组织建设实施方案</w:t>
      </w:r>
    </w:p>
    <w:bookmarkEnd w:id="0"/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为认真落实党的十八大提出的关于“建设学习型、服务型、创新型的马克思主义执政党”的部署要求，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深入学习贯彻习近平新时代中国特色社会主义思想，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全面贯彻党的十九大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及十九届历次全全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精神，持续深化推进学校党支部的政治建设、思想建设、组织建设、作风建设、纪律建设、制度建设，完善工作机制，努力把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支部建设成为视野开阔、勤于思考、求真务实、乐于奉献、高效有序、善于创新的党支部，经学校党委会研究决定，在学校各党支部中开展深化学习型、服务型、创新型党组织建设活动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特制定如下实施方案。</w:t>
      </w:r>
    </w:p>
    <w:p>
      <w:pPr>
        <w:spacing w:line="560" w:lineRule="exact"/>
        <w:ind w:firstLine="640" w:firstLineChars="200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以习近平新时代中国特色社会主义思想为指导，坚持用科学发展观统领学校事业发展全局工作，全面贯彻落实党的教育方针，坚持立德树人根本任务，推进学校事业高质量发展。</w:t>
      </w:r>
    </w:p>
    <w:p>
      <w:pPr>
        <w:spacing w:line="560" w:lineRule="exact"/>
        <w:ind w:firstLine="640" w:firstLineChars="200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、实施原则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以深入学习为基础，以强化服务为宗旨，以改革创新为动力，进一步提升党员的政治理论水平，为民服务意识和高效工作效能，努力建设一支更加勤于思考、乐于奉献、善于创新的党员队伍。</w:t>
      </w:r>
    </w:p>
    <w:p>
      <w:pPr>
        <w:spacing w:line="560" w:lineRule="exact"/>
        <w:ind w:firstLine="640" w:firstLineChars="200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、建设内容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（一）深化建设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“学习型”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党组织，开展</w:t>
      </w:r>
      <w:r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“三个一”活动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1本教育教学方面的专著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。各支部以集中学习和自主学习方式相结合，结合专业系实际，开展深入研讨，每名党员撰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写1篇心得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体会，党支部集中或分散学习简报1份，党员讨论交流发言记录1份。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篇教育教学论文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。党员结合个人教育教学情况，深入思考，广泛调研，每名党员撰写1篇高质量教育教学论文。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1节示范课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。党员在工作中充分发挥示范带动作用，与学校教师能力提升培训计划相结合，上1节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示范课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，保存教案及课堂教学视频。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楷体_GBK" w:hAnsi="楷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深化建设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“服务型”</w:t>
      </w:r>
      <w:r>
        <w:rPr>
          <w:rFonts w:hint="eastAsia" w:ascii="方正楷体_GBK" w:hAnsi="楷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党组织，开展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“四个一”活动。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.服务师生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——解决一个实际困难。党员干部深入师生了解情况，帮师生解决一个实际困难，进一步巩固“不忘初心、牢记使命”主题教育成果，促使党员干部牢记宗旨、心系师生、服务师生。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.服务企业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——开展一次技术服务。校企合作处与党支部配合，组织各党支部中技术过硬的党员到合作企业开展一次技术服务，帮助企业攻克技术难关，突破技术瓶颈。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.服务乡村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振兴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帮扶一个村社。培训中心与党支部配合，组织技术过硬的党员深入乡村，开展技术技能培训，坚持“扶贫扶智”，帮扶一个对口村舍实现经济振兴。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.服务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社区——开展一次联建联谊活动。党支部主动与校园周边社区开展一次联谊活动，主要从党建共建核心内涵、党建共建具体措施、党建共建发展构想等方面进行深入研讨和共同学习。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楷体_GBK" w:hAnsi="楷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深化建设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“创新型”</w:t>
      </w:r>
      <w:r>
        <w:rPr>
          <w:rFonts w:hint="eastAsia" w:ascii="方正楷体_GBK" w:hAnsi="楷体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党组织，开展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“五个一”活动。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.制度创新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。以党建为引领，组织专人对学校党建、行政、财务、后勤、就业等制度进行创新修订，为学校事业发展提供坚实的制度保障。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育人机制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。落实立德树人根本任务，大力推进思政课创新，鼓励思政教师围绕各专业人才培养目标，开展富有特色的思政课研究，不断提升育人能效。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.解决难题创新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。结合重庆市教学成果奖培育项目，对学校发展面临对问题进行深度调研，总结凝练，大胆创新，不断提升解决难题动能。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.组织建设创新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。对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党委委员联系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支部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制度进行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，确保党委委员专业领域与指导党支部所在专业系匹配，以实现科学有效指导。对党建工作领导小组主要职责、领导小组、工作机制进行修订完善，进一步加强党支部组织建设，增强其战斗堡垒作用。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.党建文化创新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。将党建文化融入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校园“琢信”文化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，在校园文化整体建设中加入党建文化长廊、党建知识专题展板、党建宣传标语、党建活动展示栏等建设内容，营造浓厚对校园党建氛围。</w:t>
      </w:r>
    </w:p>
    <w:p>
      <w:pPr>
        <w:spacing w:line="560" w:lineRule="exact"/>
        <w:ind w:firstLine="640" w:firstLineChars="200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、实施时间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月至2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月。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（一）宣传阶段（2</w:t>
      </w:r>
      <w:r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月至2</w:t>
      </w:r>
      <w:r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通过全校党员大会、支部“三会一课”、主题党日对</w:t>
      </w:r>
      <w:bookmarkStart w:id="1" w:name="_Hlk61946036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深化“三型”党组织建设活动</w:t>
      </w:r>
      <w:bookmarkEnd w:id="1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进行广泛宣传，鼓励全体党员教师自觉参与到建设活动中。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（二）建设阶段（2</w:t>
      </w:r>
      <w:r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月至2</w:t>
      </w:r>
      <w:r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每个党支部都是深化“三型”党组织建设活动的责任单位，必须严格按照建设实施方案落实具体任务，各支部选出一名群众监督员，全程监督活动开展情况。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（三）考核阶段（2</w:t>
      </w:r>
      <w:r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eastAsia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11月至</w:t>
      </w:r>
      <w:r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党委组织召开经验交流总结会，通过实地走访、调查问卷、查阅资料对各党支部建设情况进行考核，对建设成果优秀的支部予以授牌表扬。</w:t>
      </w:r>
    </w:p>
    <w:p>
      <w:pPr>
        <w:spacing w:line="560" w:lineRule="exact"/>
        <w:ind w:firstLine="640" w:firstLineChars="200"/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bookmarkStart w:id="2" w:name="_GoBack"/>
      <w:bookmarkEnd w:id="2"/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、保障措施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（一）加强指导。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成立党委委员与党支部书记组成的深化“三型”党组织建设活动领导小组，切实加强对建设活动的指导，力求方向正、路子对、方法好、效果明。</w:t>
      </w:r>
    </w:p>
    <w:p>
      <w:pPr>
        <w:spacing w:line="560" w:lineRule="exact"/>
        <w:ind w:firstLine="640" w:firstLineChars="200"/>
        <w:rPr>
          <w:rFonts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（二）经费保障。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学校党委为党支部建设提供所需经费，经费使用和报销和严格按照相关财务制度执行，并且与建设任务相匹配。</w:t>
      </w:r>
    </w:p>
    <w:p>
      <w:pPr>
        <w:spacing w:line="560" w:lineRule="exact"/>
        <w:ind w:firstLine="640" w:firstLineChars="200"/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（三）成果推广。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对深化建设“三型”党组织成果优秀的党支部予以授牌表扬，并将其建设经验在学校报纸、网站上进行推广宣传，以带动学校其他党支部共同进步。</w:t>
      </w: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snapToGrid/>
        <w:ind w:left="0" w:right="300" w:rightChars="100"/>
      </w:pPr>
    </w:p>
    <w:p>
      <w:pPr>
        <w:tabs>
          <w:tab w:val="right" w:pos="8526"/>
        </w:tabs>
        <w:snapToGrid/>
        <w:ind w:right="300" w:rightChars="100" w:firstLine="280" w:firstLineChars="100"/>
        <w:rPr>
          <w:rFonts w:hint="eastAsia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988695</wp:posOffset>
                </wp:positionH>
                <wp:positionV relativeFrom="paragraph">
                  <wp:posOffset>3175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5pt;margin-top:0.25pt;height:0pt;width:442.2pt;mso-position-horizontal-relative:page;z-index:251662336;mso-width-relative:page;mso-height-relative:page;" filled="f" stroked="t" coordsize="21600,21600" o:gfxdata="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0wZvnPAAAABgEAAA8AAAAAAAAAAQAgAAAAIgAAAGRycy9k&#10;b3ducmV2LnhtbFBLAQIUABQAAAAIAIdO4kCPyjPLCwIAABQEAAAOAAAAAAAAAAEAIAAAAB4BAABk&#10;cnMvZTJvRG9jLnhtbFBLBQYAAAAABgAGAFkBAACbBQAAAAA=&#10;">
                <v:fill on="f" focussize="0,0"/>
                <v:stroke weight="0.99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376555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65pt;margin-top:29.65pt;height:0pt;width:442.2pt;mso-position-horizontal-relative:page;z-index:251661312;mso-width-relative:page;mso-height-relative:page;" filled="f" stroked="t" coordsize="21600,21600" o:gfxdata="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csFo0wAAAAoBAAAPAAAAAAAAAAEAIAAAACIAAABk&#10;cnMvZG93bnJldi54bWxQSwECFAAUAAAACACHTuJAKCl2yQsCAAAUBAAADgAAAAAAAAABACAAAAAi&#10;AQAAZHJzL2Uyb0RvYy54bWxQSwUGAAAAAAYABgBZAQAAnwUAAAAA&#10;">
                <v:fill on="f" focussize="0,0"/>
                <v:stroke weight="0.99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sz w:val="28"/>
        </w:rPr>
        <w:t>中共</w:t>
      </w:r>
      <w:r>
        <w:rPr>
          <w:rFonts w:hint="eastAsia"/>
          <w:sz w:val="28"/>
        </w:rPr>
        <w:t>重庆</w:t>
      </w:r>
      <w:r>
        <w:rPr>
          <w:sz w:val="28"/>
        </w:rPr>
        <w:t>工商学校委员会</w:t>
      </w:r>
      <w:r>
        <w:rPr>
          <w:sz w:val="28"/>
        </w:rPr>
        <w:tab/>
      </w:r>
      <w:r>
        <w:rPr>
          <w:rFonts w:hint="eastAsia" w:ascii="宋体" w:eastAsia="宋体"/>
          <w:sz w:val="28"/>
        </w:rPr>
        <w:t>202</w:t>
      </w:r>
      <w:r>
        <w:rPr>
          <w:rFonts w:hint="eastAsia" w:eastAsia="宋体"/>
          <w:sz w:val="28"/>
          <w:lang w:val="en-US" w:eastAsia="zh-CN"/>
        </w:rPr>
        <w:t>2</w:t>
      </w:r>
      <w:r>
        <w:rPr>
          <w:rFonts w:hint="eastAsia"/>
          <w:sz w:val="28"/>
        </w:rPr>
        <w:t>年</w:t>
      </w:r>
      <w:r>
        <w:rPr>
          <w:rFonts w:hint="eastAsia" w:eastAsia="宋体"/>
          <w:sz w:val="28"/>
          <w:lang w:val="en-US" w:eastAsia="zh-CN"/>
        </w:rPr>
        <w:t>2</w:t>
      </w:r>
      <w:r>
        <w:rPr>
          <w:rFonts w:hint="eastAsia"/>
          <w:sz w:val="28"/>
        </w:rPr>
        <w:t>月</w:t>
      </w:r>
      <w:r>
        <w:rPr>
          <w:rFonts w:hint="eastAsia" w:eastAsia="宋体"/>
          <w:sz w:val="28"/>
          <w:lang w:val="en-US" w:eastAsia="zh-CN"/>
        </w:rPr>
        <w:t>21</w:t>
      </w:r>
      <w:r>
        <w:rPr>
          <w:rFonts w:hint="eastAsia"/>
          <w:sz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025626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3748906"/>
      <w:docPartObj>
        <w:docPartGallery w:val="autotext"/>
      </w:docPartObj>
    </w:sdtPr>
    <w:sdtEndPr>
      <w:rPr>
        <w:sz w:val="28"/>
        <w:szCs w:val="28"/>
        <w:lang w:val="zh-CN"/>
      </w:rPr>
    </w:sdtEndPr>
    <w:sdtContent>
      <w:p>
        <w:pPr>
          <w:pStyle w:val="3"/>
          <w:jc w:val="right"/>
          <w:rPr>
            <w:sz w:val="28"/>
            <w:szCs w:val="28"/>
            <w:lang w:val="zh-CN"/>
          </w:rPr>
        </w:pPr>
        <w:r>
          <w:rPr>
            <w:sz w:val="28"/>
            <w:szCs w:val="28"/>
            <w:lang w:val="zh-CN"/>
          </w:rPr>
          <w:fldChar w:fldCharType="begin"/>
        </w:r>
        <w:r>
          <w:rPr>
            <w:sz w:val="28"/>
            <w:szCs w:val="28"/>
            <w:lang w:val="zh-CN"/>
          </w:rPr>
          <w:instrText xml:space="preserve">PAGE   \* MERGEFORMAT</w:instrText>
        </w:r>
        <w:r>
          <w:rPr>
            <w:sz w:val="28"/>
            <w:szCs w:val="28"/>
            <w:lang w:val="zh-CN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RjNTYxMTE3ZTU4MjYyMjJmY2FiMzNhOWRiMjUifQ=="/>
  </w:docVars>
  <w:rsids>
    <w:rsidRoot w:val="00C83EFF"/>
    <w:rsid w:val="0006568D"/>
    <w:rsid w:val="000814F8"/>
    <w:rsid w:val="000A3FFB"/>
    <w:rsid w:val="000F0794"/>
    <w:rsid w:val="001F2A64"/>
    <w:rsid w:val="001F4E10"/>
    <w:rsid w:val="002F4625"/>
    <w:rsid w:val="0036733D"/>
    <w:rsid w:val="003F45A8"/>
    <w:rsid w:val="00544AD6"/>
    <w:rsid w:val="00566A63"/>
    <w:rsid w:val="005F2F47"/>
    <w:rsid w:val="006012A5"/>
    <w:rsid w:val="00607EB1"/>
    <w:rsid w:val="00616D20"/>
    <w:rsid w:val="006254AE"/>
    <w:rsid w:val="00644191"/>
    <w:rsid w:val="006446EB"/>
    <w:rsid w:val="006954DF"/>
    <w:rsid w:val="006D37EB"/>
    <w:rsid w:val="006F61E9"/>
    <w:rsid w:val="008C79E8"/>
    <w:rsid w:val="00915A7A"/>
    <w:rsid w:val="009C3DA0"/>
    <w:rsid w:val="009F3FC1"/>
    <w:rsid w:val="00AC1224"/>
    <w:rsid w:val="00C4240F"/>
    <w:rsid w:val="00C83EFF"/>
    <w:rsid w:val="00D03321"/>
    <w:rsid w:val="00D8742E"/>
    <w:rsid w:val="00DF73BC"/>
    <w:rsid w:val="00E52B5A"/>
    <w:rsid w:val="00E873D3"/>
    <w:rsid w:val="00EA00EB"/>
    <w:rsid w:val="00F250AB"/>
    <w:rsid w:val="00FE78FF"/>
    <w:rsid w:val="141D6BBB"/>
    <w:rsid w:val="226F3ABA"/>
    <w:rsid w:val="230B4C7B"/>
    <w:rsid w:val="3E9C18C5"/>
    <w:rsid w:val="3F58225D"/>
    <w:rsid w:val="4C7463F0"/>
    <w:rsid w:val="4CF51866"/>
    <w:rsid w:val="7ED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2027</Words>
  <Characters>2074</Characters>
  <Lines>13</Lines>
  <Paragraphs>3</Paragraphs>
  <TotalTime>11</TotalTime>
  <ScaleCrop>false</ScaleCrop>
  <LinksUpToDate>false</LinksUpToDate>
  <CharactersWithSpaces>2110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2021-01-19T01:54:00Z</dcterms:created>
  <dc:creator>HP</dc:creator>
  <cp:lastModifiedBy>李远祥</cp:lastModifiedBy>
  <dcterms:modified xsi:type="dcterms:W3CDTF">2022-11-14T02:08:16Z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98D68C15F41247F193A599AFDBFC950D</vt:lpwstr>
  </property>
</Properties>
</file>